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FD478">
      <w:pPr>
        <w:jc w:val="center"/>
        <w:rPr>
          <w:rFonts w:hint="eastAsia" w:ascii="方正公文小标宋" w:hAnsi="方正公文小标宋" w:eastAsia="方正公文小标宋" w:cs="方正公文小标宋"/>
          <w:sz w:val="44"/>
          <w:szCs w:val="44"/>
          <w:lang w:val="en-US" w:eastAsia="zh-CN"/>
        </w:rPr>
      </w:pPr>
      <w:bookmarkStart w:id="0" w:name="_GoBack"/>
      <w:r>
        <w:rPr>
          <w:rFonts w:hint="eastAsia" w:ascii="方正公文小标宋" w:hAnsi="方正公文小标宋" w:eastAsia="方正公文小标宋" w:cs="方正公文小标宋"/>
          <w:sz w:val="44"/>
          <w:szCs w:val="44"/>
          <w:lang w:val="en-US" w:eastAsia="zh-CN"/>
        </w:rPr>
        <w:t>云南中医药大学第二附属医院设备计量检定市场询价咨询公告</w:t>
      </w:r>
    </w:p>
    <w:bookmarkEnd w:id="0"/>
    <w:p w14:paraId="078CCD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一、项目概述</w:t>
      </w:r>
    </w:p>
    <w:p w14:paraId="6AB86C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严格遵守《中华人民共和国计量法》《中华人民共和国计量法实施细则》《医疗器械监督管理条例》等法律法规及行业规范要求，规范我院计量器具管理工作，保障全院各类计量器具量值准确、合规合格，确保医院质量管理体系稳定有效运行。我院拟将院内各类需检定、校准的计量器具，委托具备合法合规资质的第三方专业机构提供计量检定、校准服务。现面向社会潜在合格供应商开展市场询价咨询工作，为项目立项及预算编制提供依据，欢迎符合条件的供应商积极参与。</w:t>
      </w:r>
    </w:p>
    <w:p w14:paraId="5A66EC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二、供应商资质及服务要求</w:t>
      </w:r>
    </w:p>
    <w:p w14:paraId="7E5F8D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供应商须具备有效的中华人民共和国法定计量检定机构计量授权证书、检验检测机构资质认定证书（CMA）、中国合格评定国家认可委员会实验室认可证书（CNAS）。资质附表尽可能覆盖本次医疗设备计量检定、校准相关参数及项目，具备独立开展计量检定、校准服务的能力。</w:t>
      </w:r>
    </w:p>
    <w:p w14:paraId="4C0403C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服务范围包含但不限于我院提供的计量设备清单内所有器具的检定、校准工作，需严格按照国家现行计量检定规程、校准规范开展服务，强制检定器具严禁以校准替代。若部分计量器具检定/校准项目超出自身资质附表范围，供应商可依法将对应项目外委给具备相应资质的机构实施。外委单位须在响应文件中列明，并提供外委机构有效资质证书、外委协议或承诺函；供应商作为总服务方对全部检定校准结果、报告真实性、时效性承担全部责任。</w:t>
      </w:r>
    </w:p>
    <w:p w14:paraId="0AA52E6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供应商近三年经营活动中无重大违法违规记录、无行政处罚、无失信经营等不良记录，履约信誉良好，能够独立承担民事责任及相关服务风险。</w:t>
      </w:r>
    </w:p>
    <w:p w14:paraId="426DDC5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三、项目相关说明</w:t>
      </w:r>
    </w:p>
    <w:p w14:paraId="008A4E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 本次市场询价仅为我院项目立项、预算核定提供参考依据，不属于正式招标采购活动，不具备招标采购法律效力，我院不承担任何采购承诺及相关权责。</w:t>
      </w:r>
    </w:p>
    <w:p w14:paraId="2AA22A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 本项目后续正式采购服务周期为3年，具体采购方式、服务细则、合同条款等以后续正式采购公告及文件为准。</w:t>
      </w:r>
    </w:p>
    <w:p w14:paraId="774C543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 各潜在供应商须结合自身资质、服务能力、市场行情等实际情况，本着公平诚信、真实合规的原则如实报价，报价需完整、详实、合理。</w:t>
      </w:r>
    </w:p>
    <w:p w14:paraId="60425F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四、其他事宜</w:t>
      </w:r>
    </w:p>
    <w:p w14:paraId="299FCA1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报名资质要求：</w:t>
      </w:r>
    </w:p>
    <w:p w14:paraId="0E708B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1、有效期内的三证合一营业执照加盖公章及相关计量证书加盖公章。</w:t>
      </w:r>
    </w:p>
    <w:p w14:paraId="03F2673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供应商法人身份证复印件、经办人身份证复印件、经办人授权书、无犯罪承诺书以及供应商在报名参加本项目时间前未被列入“信用中国”网站（www.creditchina.gov.cn）失信被执行人及中国政府采购网（www.ccgp.gov.cn）“政府采购严重违法失信行为信息记录名单”截图并加盖公章。</w:t>
      </w:r>
    </w:p>
    <w:p w14:paraId="414FB2A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二、拟咨询项目名称：（见附件1）</w:t>
      </w:r>
    </w:p>
    <w:p w14:paraId="1EE5AED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三、推介内容：项目的报价等。</w:t>
      </w:r>
    </w:p>
    <w:p w14:paraId="53A375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四、推介形式：对我院公布的办公设备耗材进行信息推介。</w:t>
      </w:r>
    </w:p>
    <w:p w14:paraId="440712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报名方式：邮箱报名13888862947@139.com。请将报名资质要求内容扫描后做成一个PDF格式文件和报价PPT一起发送邮箱，邮件主题：报名供应商名称+公司名称+报名资料，报名截止时间：2026年10月19日17：00。</w:t>
      </w:r>
    </w:p>
    <w:p w14:paraId="7E7E145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118CC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inline distT="0" distB="0" distL="114300" distR="114300">
            <wp:extent cx="152400" cy="1524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52400" cy="152400"/>
                    </a:xfrm>
                    <a:prstGeom prst="rect">
                      <a:avLst/>
                    </a:prstGeom>
                    <a:noFill/>
                    <a:ln w="9525">
                      <a:noFill/>
                    </a:ln>
                  </pic:spPr>
                </pic:pic>
              </a:graphicData>
            </a:graphic>
          </wp:inline>
        </w:drawing>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"https://www.ynzyydxdefsyy.com/Upload/File/2026/04/30/69f2fe9873f5c.docx" \o "拟采购及配送医用耗材汇总表.docx"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t>拟检验项目清单汇总表.docx</w:t>
      </w:r>
      <w:r>
        <w:rPr>
          <w:rFonts w:hint="eastAsia" w:ascii="仿宋_GB2312" w:hAnsi="仿宋_GB2312" w:eastAsia="仿宋_GB2312" w:cs="仿宋_GB2312"/>
          <w:sz w:val="32"/>
          <w:szCs w:val="32"/>
          <w:lang w:val="en-US" w:eastAsia="zh-CN"/>
        </w:rPr>
        <w:fldChar w:fldCharType="end"/>
      </w:r>
    </w:p>
    <w:p w14:paraId="5D254C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06496D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349C1B61">
      <w:pPr>
        <w:keepNext w:val="0"/>
        <w:keepLines w:val="0"/>
        <w:pageBreakBefore w:val="0"/>
        <w:widowControl w:val="0"/>
        <w:kinsoku/>
        <w:wordWrap/>
        <w:overflowPunct/>
        <w:topLinePunct w:val="0"/>
        <w:autoSpaceDE/>
        <w:autoSpaceDN/>
        <w:bidi w:val="0"/>
        <w:adjustRightInd/>
        <w:snapToGrid/>
        <w:ind w:firstLine="640" w:firstLineChars="200"/>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15F9A3-DDCD-44E4-B946-4A9F625189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F42F4009-BA9D-4483-B741-E3A212E0B350}"/>
  </w:font>
  <w:font w:name="仿宋_GB2312">
    <w:panose1 w:val="02010609030101010101"/>
    <w:charset w:val="86"/>
    <w:family w:val="auto"/>
    <w:pitch w:val="default"/>
    <w:sig w:usb0="00000001" w:usb1="080E0000" w:usb2="00000000" w:usb3="00000000" w:csb0="00040000" w:csb1="00000000"/>
    <w:embedRegular r:id="rId3" w:fontKey="{90FBD94D-00A1-467C-88D7-01040DE24809}"/>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275A8"/>
    <w:rsid w:val="0DC0622B"/>
    <w:rsid w:val="34B76DFD"/>
    <w:rsid w:val="42B85637"/>
    <w:rsid w:val="51814508"/>
    <w:rsid w:val="60CE5ADB"/>
    <w:rsid w:val="6BDC1378"/>
    <w:rsid w:val="6C563B87"/>
    <w:rsid w:val="78D756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1134</Words>
  <Characters>1213</Characters>
  <Lines>0</Lines>
  <Paragraphs>0</Paragraphs>
  <TotalTime>4</TotalTime>
  <ScaleCrop>false</ScaleCrop>
  <LinksUpToDate>false</LinksUpToDate>
  <CharactersWithSpaces>1219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2026-10-09T03:36:00Z</dcterms:created>
  <dc:creator>YZEY</dc:creator>
  <cp:lastModifiedBy>夏嘉女</cp:lastModifiedBy>
  <dcterms:modified xsi:type="dcterms:W3CDTF">2026-10-09T06:38:41Z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eyJoZGlkIjoiZDAzMmZhMTJhYTczMmI1MWM4ZWIwMWQ3YjNmZmIwMDkiLCJ1c2VySWQiOiIxNjczMTA2Mjk5In0=</vt:lpwstr>
  </property>
  <property fmtid="{D5CDD505-2E9C-101B-9397-08002B2CF9AE}" pid="4" name="ICV">
    <vt:lpwstr>B2F62A020BAE4E0EA34455DA248AAE63_13</vt:lpwstr>
  </property>
</Properties>
</file>