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2120"/>
        <w:gridCol w:w="4582"/>
        <w:gridCol w:w="1170"/>
        <w:gridCol w:w="645"/>
        <w:gridCol w:w="1110"/>
        <w:gridCol w:w="1380"/>
      </w:tblGrid>
      <w:tr w14:paraId="498E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05" w:type="dxa"/>
            <w:gridSpan w:val="7"/>
          </w:tcPr>
          <w:p w14:paraId="18A1A2A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云南中医药大学第二附属医院呈贡门诊部安全设备预算清单</w:t>
            </w:r>
          </w:p>
        </w:tc>
      </w:tr>
      <w:tr w14:paraId="02A1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</w:tcPr>
          <w:p w14:paraId="628ACF2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120" w:type="dxa"/>
          </w:tcPr>
          <w:p w14:paraId="206618B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582" w:type="dxa"/>
          </w:tcPr>
          <w:p w14:paraId="18B8682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设备参数</w:t>
            </w:r>
          </w:p>
        </w:tc>
        <w:tc>
          <w:tcPr>
            <w:tcW w:w="1170" w:type="dxa"/>
          </w:tcPr>
          <w:p w14:paraId="6C6AF29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645" w:type="dxa"/>
          </w:tcPr>
          <w:p w14:paraId="632A53C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110" w:type="dxa"/>
          </w:tcPr>
          <w:p w14:paraId="7FEB786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380" w:type="dxa"/>
          </w:tcPr>
          <w:p w14:paraId="6E2E532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预算总价</w:t>
            </w:r>
          </w:p>
        </w:tc>
      </w:tr>
      <w:tr w14:paraId="1D54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</w:tcPr>
          <w:p w14:paraId="4CF70861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20" w:type="dxa"/>
          </w:tcPr>
          <w:p w14:paraId="7311E1F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接入防火墙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9679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1、产品为标准机架式结构，网络层吞吐量≥3G，IPS吞吐量≥6、500M，并发连接数≥90万，HTTP新建连接数≥2.5万。配置不少于8千兆电口+2千兆光口SFP。提供三年硬件质保、软件升级服务、互联网服务。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2、提供≥3年防护规则库，规则库包括WEB应用防护识别库、IPS特征库、僵尸网络防护库、实时漏洞分析识别库和URL&amp;应用识别库定期更新，保持设备具备检测防御最新威胁的能力。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3、产品支持服务器漏洞防扫描功能，并对扫描源IP进行日志记录和联动封锁；产品支持Cookie攻击防护功能，并通过日志记录Cookie被篡改。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4、产品内置不低于16000种漏洞规则，同时支持在控制台界面通过漏洞ID、漏洞名称、危险等级、漏洞CVE标识、漏洞描述等条件查询漏洞特征信息，支持用户自定义IPS规则。</w:t>
            </w:r>
          </w:p>
          <w:p w14:paraId="0E85A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5、产品支持僵尸主机检测功能，产品内置僵尸网络特征库超过120万种，可识别主机的异常外联行为。</w:t>
            </w:r>
          </w:p>
          <w:p w14:paraId="16FB0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6、产品内置超过4500种WEB应用攻击特征，支持对跨站脚本（XSS）攻击、SQL注入、文件包含攻击、信息泄露攻击、WEBSHELL、网站扫描、网页木马等攻击类型进行防护。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7、当主机故障时，双机切换时不丢包，并可实现双机部署下升级不断网。</w:t>
            </w:r>
          </w:p>
          <w:p w14:paraId="3B3A5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8、产品支持用户账号安全保护功能，包括用户账号多余入口检测、用户账号弱口令检测、用户账号暴力破解检测、失陷账号检测，防止因账号被暴力破解导致的非法提权情况发生。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9、产品支持异常数据包攻击防御，防护类型包括IP数据块分片传输防护、Teardrop攻击防护、Smurf攻击防护、Land攻击防护、WinNuke攻击防护等攻击类型。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10、产品支持策略生命周期管理功能，支持对安全策略修改的时间、原因、变更类型进行统一管理，便于策略的运维与管理。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11、产品应具备独立的勒索病毒防护模块，非普通防病毒功能，支持对特定的业务进行勒索风险自动化评估，并依据评估结果自动生成防护策略，支持在设备首页独立展示勒索风险板块。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12、产品支持对压缩病毒文件进行检测和拦截，压缩层数支持15层及以上。</w:t>
            </w:r>
          </w:p>
          <w:p w14:paraId="5B14E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产品支持与终端安全软件联动管理，在防火墙产品完成终端安全策略设置，支持检测到某主机有僵木蠕毒的C2通信时，手动或自动化将恶意域名信息下发到终端安全软件做C2通信的封锁遏制，对终端恶意文件进行隔离。</w:t>
            </w:r>
          </w:p>
        </w:tc>
        <w:tc>
          <w:tcPr>
            <w:tcW w:w="1170" w:type="dxa"/>
          </w:tcPr>
          <w:p w14:paraId="1D6E1BE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15700.00</w:t>
            </w:r>
          </w:p>
        </w:tc>
        <w:tc>
          <w:tcPr>
            <w:tcW w:w="645" w:type="dxa"/>
          </w:tcPr>
          <w:p w14:paraId="6EB105E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</w:tcPr>
          <w:p w14:paraId="13CF6C0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1380" w:type="dxa"/>
          </w:tcPr>
          <w:p w14:paraId="63CE86B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15700.00</w:t>
            </w:r>
          </w:p>
        </w:tc>
      </w:tr>
      <w:tr w14:paraId="56357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" w:type="dxa"/>
          </w:tcPr>
          <w:p w14:paraId="722CDD10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120" w:type="dxa"/>
          </w:tcPr>
          <w:p w14:paraId="746CF8D8">
            <w:pPr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千兆单模光模块</w:t>
            </w:r>
          </w:p>
        </w:tc>
        <w:tc>
          <w:tcPr>
            <w:tcW w:w="4582" w:type="dxa"/>
          </w:tcPr>
          <w:p w14:paraId="0812EE9A">
            <w:pPr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光模块-SFP-GE-单模模块-(1310nm,10km,LC)</w:t>
            </w:r>
          </w:p>
        </w:tc>
        <w:tc>
          <w:tcPr>
            <w:tcW w:w="1170" w:type="dxa"/>
          </w:tcPr>
          <w:p w14:paraId="7F96700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260.00</w:t>
            </w:r>
          </w:p>
        </w:tc>
        <w:tc>
          <w:tcPr>
            <w:tcW w:w="645" w:type="dxa"/>
          </w:tcPr>
          <w:p w14:paraId="50F3289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110" w:type="dxa"/>
          </w:tcPr>
          <w:p w14:paraId="5F3B765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1380" w:type="dxa"/>
          </w:tcPr>
          <w:p w14:paraId="628E67A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5200.00</w:t>
            </w:r>
          </w:p>
        </w:tc>
      </w:tr>
    </w:tbl>
    <w:p w14:paraId="6691F73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3625B"/>
    <w:rsid w:val="2EE0262B"/>
    <w:rsid w:val="5553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1076</Words>
  <Characters>1307</Characters>
  <Lines>0</Lines>
  <Paragraphs>0</Paragraphs>
  <TotalTime>0</TotalTime>
  <ScaleCrop>false</ScaleCrop>
  <LinksUpToDate>false</LinksUpToDate>
  <CharactersWithSpaces>1314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2026-08-14T09:23:00Z</dcterms:created>
  <dc:creator>爵居</dc:creator>
  <cp:lastModifiedBy>王晓云</cp:lastModifiedBy>
  <dcterms:modified xsi:type="dcterms:W3CDTF">2026-09-11T07:22:45Z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DF1A4E1C6D4941E48ACFC00D41EF3E4C_11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